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C46E" w14:textId="6C049216" w:rsidR="00A7666E" w:rsidRDefault="00A7666E" w:rsidP="00A7666E">
      <w:pPr>
        <w:pStyle w:val="ae"/>
      </w:pPr>
      <w:r>
        <w:rPr>
          <w:noProof/>
          <w:lang w:val="bg-BG" w:eastAsia="bg-BG"/>
        </w:rPr>
        <w:drawing>
          <wp:inline distT="0" distB="0" distL="0" distR="0" wp14:anchorId="09C990FF" wp14:editId="5593820D">
            <wp:extent cx="1170214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91" cy="65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 wp14:anchorId="6A256902" wp14:editId="47CDC495">
            <wp:extent cx="217932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18" cy="6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val="bg-BG" w:eastAsia="bg-BG"/>
        </w:rPr>
        <w:drawing>
          <wp:inline distT="0" distB="0" distL="0" distR="0" wp14:anchorId="066542DE" wp14:editId="75C2EF46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57AA" w14:textId="53618F54" w:rsidR="00A7666E" w:rsidRPr="00FF69D2" w:rsidRDefault="00A7666E" w:rsidP="00FF69D2">
      <w:pPr>
        <w:pStyle w:val="ae"/>
      </w:pPr>
      <w:r w:rsidRPr="00F0388C">
        <w:rPr>
          <w:b/>
          <w:sz w:val="48"/>
          <w:szCs w:val="48"/>
          <w:u w:val="single"/>
          <w:lang w:eastAsia="bg-BG"/>
        </w:rPr>
        <w:t>2025-1-BG01-KA122-SCH-000307013</w:t>
      </w:r>
    </w:p>
    <w:p w14:paraId="759BC041" w14:textId="07C1F2BC" w:rsidR="00A7666E" w:rsidRDefault="00AD09B4" w:rsidP="006961C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bg-BG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val="bg-BG" w:eastAsia="en-GB"/>
          <w14:ligatures w14:val="none"/>
        </w:rPr>
        <w:t>СУ“ Васил Левски“ град Опака</w:t>
      </w:r>
    </w:p>
    <w:p w14:paraId="703BB45B" w14:textId="77777777" w:rsidR="009E73FF" w:rsidRDefault="009E73FF" w:rsidP="009E73FF">
      <w:pPr>
        <w:pStyle w:val="1"/>
      </w:pPr>
      <w:r>
        <w:t>ПРОЦЕДУРА ЗА ПОДБОР НА УЧЕНИЦИ</w:t>
      </w:r>
      <w:r>
        <w:br/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№ 2025-1-BG01-KA122-SCH-000307013</w:t>
      </w:r>
      <w:r>
        <w:br/>
        <w:t>„Transform the Future, Protect Nature“</w:t>
      </w:r>
    </w:p>
    <w:p w14:paraId="3D8303F7" w14:textId="77777777" w:rsidR="009E73FF" w:rsidRDefault="009E73FF" w:rsidP="009E73FF">
      <w:pPr>
        <w:pStyle w:val="2"/>
      </w:pPr>
      <w:r>
        <w:t xml:space="preserve">I. </w:t>
      </w:r>
      <w:proofErr w:type="spellStart"/>
      <w:r>
        <w:t>Основание</w:t>
      </w:r>
      <w:proofErr w:type="spellEnd"/>
    </w:p>
    <w:p w14:paraId="663BECC6" w14:textId="77777777" w:rsidR="009E73FF" w:rsidRDefault="009E73FF" w:rsidP="009E73FF">
      <w:proofErr w:type="spellStart"/>
      <w:r>
        <w:t>Процедурата</w:t>
      </w:r>
      <w:proofErr w:type="spellEnd"/>
      <w:r>
        <w:t xml:space="preserve"> е </w:t>
      </w:r>
      <w:proofErr w:type="spellStart"/>
      <w:r>
        <w:t>изготвена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№ 2025-1-BG01-KA122-SCH-000307013 „Transform the Future, Protect </w:t>
      </w:r>
      <w:proofErr w:type="gramStart"/>
      <w:r>
        <w:t>Nature“</w:t>
      </w:r>
      <w:proofErr w:type="gramEnd"/>
      <w:r>
        <w:t xml:space="preserve">, </w:t>
      </w:r>
      <w:proofErr w:type="spellStart"/>
      <w:r>
        <w:t>финансиран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Еразъм</w:t>
      </w:r>
      <w:proofErr w:type="spellEnd"/>
      <w:r>
        <w:t xml:space="preserve">+, </w:t>
      </w:r>
      <w:proofErr w:type="spellStart"/>
      <w:r>
        <w:t>ключова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KA122-SCH – </w:t>
      </w:r>
      <w:proofErr w:type="spellStart"/>
      <w:r>
        <w:t>Краткосрочни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мобилност</w:t>
      </w:r>
      <w:proofErr w:type="spellEnd"/>
      <w:r>
        <w:t xml:space="preserve"> в </w:t>
      </w:r>
      <w:proofErr w:type="spellStart"/>
      <w:r>
        <w:t>училищното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.</w:t>
      </w:r>
    </w:p>
    <w:p w14:paraId="23F7642A" w14:textId="77777777" w:rsidR="009E73FF" w:rsidRDefault="009E73FF" w:rsidP="009E73FF">
      <w:pPr>
        <w:pStyle w:val="2"/>
      </w:pPr>
      <w:r>
        <w:t xml:space="preserve">II.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процедурата</w:t>
      </w:r>
      <w:proofErr w:type="spellEnd"/>
    </w:p>
    <w:p w14:paraId="64CA58E0" w14:textId="77777777" w:rsidR="009E73FF" w:rsidRDefault="009E73FF" w:rsidP="009E73FF">
      <w:r>
        <w:t xml:space="preserve">1. </w:t>
      </w:r>
      <w:proofErr w:type="spellStart"/>
      <w:r>
        <w:t>Осигуряване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прозрачен</w:t>
      </w:r>
      <w:proofErr w:type="spellEnd"/>
      <w:r>
        <w:t xml:space="preserve">, </w:t>
      </w:r>
      <w:proofErr w:type="spellStart"/>
      <w:r>
        <w:t>обективен</w:t>
      </w:r>
      <w:proofErr w:type="spellEnd"/>
      <w:r>
        <w:t xml:space="preserve"> и </w:t>
      </w:r>
      <w:proofErr w:type="spellStart"/>
      <w:r>
        <w:t>справедлив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в </w:t>
      </w:r>
      <w:proofErr w:type="spellStart"/>
      <w:r>
        <w:t>мобилността</w:t>
      </w:r>
      <w:proofErr w:type="spellEnd"/>
      <w:r>
        <w:t>.</w:t>
      </w:r>
      <w:r>
        <w:br/>
        <w:t xml:space="preserve">2. </w:t>
      </w:r>
      <w:proofErr w:type="spellStart"/>
      <w:r>
        <w:t>Насърчаване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личностното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, </w:t>
      </w:r>
      <w:proofErr w:type="spellStart"/>
      <w:r>
        <w:t>екологичното</w:t>
      </w:r>
      <w:proofErr w:type="spellEnd"/>
      <w:r>
        <w:t xml:space="preserve"> </w:t>
      </w:r>
      <w:proofErr w:type="spellStart"/>
      <w:r>
        <w:t>съзнание</w:t>
      </w:r>
      <w:proofErr w:type="spellEnd"/>
      <w:r>
        <w:t xml:space="preserve"> и </w:t>
      </w:r>
      <w:proofErr w:type="spellStart"/>
      <w:r>
        <w:t>активната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>.</w:t>
      </w:r>
      <w:r>
        <w:br/>
        <w:t xml:space="preserve">3. </w:t>
      </w:r>
      <w:proofErr w:type="spellStart"/>
      <w:r>
        <w:t>Подбор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мотивация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и </w:t>
      </w:r>
      <w:proofErr w:type="spellStart"/>
      <w:r>
        <w:t>принос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– </w:t>
      </w:r>
      <w:proofErr w:type="spellStart"/>
      <w:r>
        <w:t>намаляване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отпадъците</w:t>
      </w:r>
      <w:proofErr w:type="spellEnd"/>
      <w:r>
        <w:t xml:space="preserve"> и </w:t>
      </w:r>
      <w:proofErr w:type="spellStart"/>
      <w:r>
        <w:t>въвеждане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разделно</w:t>
      </w:r>
      <w:proofErr w:type="spellEnd"/>
      <w:r>
        <w:t xml:space="preserve"> </w:t>
      </w:r>
      <w:proofErr w:type="spellStart"/>
      <w:r>
        <w:t>събиране</w:t>
      </w:r>
      <w:proofErr w:type="spellEnd"/>
      <w:r>
        <w:t xml:space="preserve"> в </w:t>
      </w:r>
      <w:proofErr w:type="spellStart"/>
      <w:r>
        <w:t>училищна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, с </w:t>
      </w:r>
      <w:proofErr w:type="spellStart"/>
      <w:r>
        <w:t>цел</w:t>
      </w:r>
      <w:proofErr w:type="spellEnd"/>
      <w:r>
        <w:t xml:space="preserve"> 15% </w:t>
      </w:r>
      <w:proofErr w:type="spellStart"/>
      <w:r>
        <w:t>намаляване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училищните</w:t>
      </w:r>
      <w:proofErr w:type="spellEnd"/>
      <w:r>
        <w:t xml:space="preserve"> </w:t>
      </w:r>
      <w:proofErr w:type="spellStart"/>
      <w:r>
        <w:t>разходи</w:t>
      </w:r>
      <w:proofErr w:type="spellEnd"/>
      <w:r>
        <w:t>.</w:t>
      </w:r>
    </w:p>
    <w:p w14:paraId="41C07D5D" w14:textId="77777777" w:rsidR="009E73FF" w:rsidRDefault="009E73FF" w:rsidP="009E73FF">
      <w:pPr>
        <w:pStyle w:val="2"/>
      </w:pPr>
      <w:r>
        <w:t xml:space="preserve">III.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</w:p>
    <w:p w14:paraId="10963985" w14:textId="77777777" w:rsidR="009E73FF" w:rsidRDefault="009E73FF" w:rsidP="009E73FF"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>:</w:t>
      </w:r>
      <w:r>
        <w:br/>
        <w:t xml:space="preserve">-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среден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последната</w:t>
      </w:r>
      <w:proofErr w:type="spellEnd"/>
      <w:r>
        <w:t xml:space="preserve"> </w:t>
      </w:r>
      <w:proofErr w:type="spellStart"/>
      <w:r>
        <w:t>учебна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4.50;</w:t>
      </w:r>
      <w:r>
        <w:br/>
        <w:t xml:space="preserve">- </w:t>
      </w:r>
      <w:proofErr w:type="spellStart"/>
      <w:r>
        <w:t>демонстрират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и </w:t>
      </w:r>
      <w:proofErr w:type="spellStart"/>
      <w:r>
        <w:t>ангажираност</w:t>
      </w:r>
      <w:proofErr w:type="spellEnd"/>
      <w:r>
        <w:t xml:space="preserve"> в </w:t>
      </w:r>
      <w:proofErr w:type="spellStart"/>
      <w:r>
        <w:t>училищния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>;</w:t>
      </w:r>
      <w:r>
        <w:br/>
        <w:t xml:space="preserve">- </w:t>
      </w:r>
      <w:proofErr w:type="spellStart"/>
      <w:r>
        <w:t>издържат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и </w:t>
      </w:r>
      <w:proofErr w:type="spellStart"/>
      <w:r>
        <w:t>интервюто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.</w:t>
      </w:r>
    </w:p>
    <w:p w14:paraId="6E2969E5" w14:textId="77777777" w:rsidR="009E73FF" w:rsidRDefault="009E73FF" w:rsidP="009E73FF">
      <w:pPr>
        <w:pStyle w:val="2"/>
      </w:pPr>
      <w:r>
        <w:t xml:space="preserve">IV.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подбора</w:t>
      </w:r>
      <w:proofErr w:type="spellEnd"/>
    </w:p>
    <w:p w14:paraId="45D07A71" w14:textId="77777777" w:rsidR="009E73FF" w:rsidRDefault="009E73FF" w:rsidP="009E73FF">
      <w:r>
        <w:t xml:space="preserve">1. </w:t>
      </w:r>
      <w:proofErr w:type="spellStart"/>
      <w:r>
        <w:t>Обявяване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>.</w:t>
      </w:r>
      <w:r>
        <w:br/>
        <w:t xml:space="preserve">2. </w:t>
      </w:r>
      <w:proofErr w:type="spellStart"/>
      <w:r>
        <w:t>Кандидатстване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>.</w:t>
      </w:r>
      <w:r>
        <w:br/>
      </w:r>
      <w:r>
        <w:lastRenderedPageBreak/>
        <w:t xml:space="preserve">3. </w:t>
      </w:r>
      <w:proofErr w:type="spellStart"/>
      <w:r>
        <w:t>Оценяване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критерии</w:t>
      </w:r>
      <w:proofErr w:type="spellEnd"/>
      <w:r>
        <w:t>.</w:t>
      </w:r>
      <w:r>
        <w:br/>
        <w:t xml:space="preserve">4. </w:t>
      </w:r>
      <w:proofErr w:type="spellStart"/>
      <w:r>
        <w:t>Класиране</w:t>
      </w:r>
      <w:proofErr w:type="spellEnd"/>
      <w:r>
        <w:t>.</w:t>
      </w:r>
      <w:r>
        <w:br/>
        <w:t xml:space="preserve">5. </w:t>
      </w:r>
      <w:proofErr w:type="spellStart"/>
      <w:r>
        <w:t>Обявяване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резултатите</w:t>
      </w:r>
      <w:proofErr w:type="spellEnd"/>
      <w:r>
        <w:t>.</w:t>
      </w:r>
      <w:r>
        <w:br/>
        <w:t xml:space="preserve">6. </w:t>
      </w:r>
      <w:proofErr w:type="spellStart"/>
      <w:r>
        <w:t>Възможност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>.</w:t>
      </w:r>
    </w:p>
    <w:p w14:paraId="69F60B74" w14:textId="77777777" w:rsidR="009E73FF" w:rsidRDefault="009E73FF" w:rsidP="009E73FF">
      <w:pPr>
        <w:pStyle w:val="2"/>
      </w:pPr>
      <w:r>
        <w:t xml:space="preserve">V. </w:t>
      </w:r>
      <w:proofErr w:type="spellStart"/>
      <w:r>
        <w:t>Критерии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и </w:t>
      </w:r>
      <w:proofErr w:type="spellStart"/>
      <w:r>
        <w:t>точкуване</w:t>
      </w:r>
      <w:proofErr w:type="spellEnd"/>
    </w:p>
    <w:p w14:paraId="1F224925" w14:textId="77777777" w:rsidR="009E73FF" w:rsidRDefault="009E73FF" w:rsidP="009E73FF">
      <w:proofErr w:type="spellStart"/>
      <w:r>
        <w:t>Подробно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таблицата</w:t>
      </w:r>
      <w:proofErr w:type="spellEnd"/>
      <w:r>
        <w:t xml:space="preserve"> </w:t>
      </w:r>
      <w:proofErr w:type="spellStart"/>
      <w:r>
        <w:t>по-долу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E73FF" w14:paraId="1AA07ED3" w14:textId="77777777" w:rsidTr="00FC78EA">
        <w:tc>
          <w:tcPr>
            <w:tcW w:w="2880" w:type="dxa"/>
          </w:tcPr>
          <w:p w14:paraId="015CC86B" w14:textId="77777777" w:rsidR="009E73FF" w:rsidRDefault="009E73FF" w:rsidP="00FC78EA">
            <w:proofErr w:type="spellStart"/>
            <w:r>
              <w:t>Критерий</w:t>
            </w:r>
            <w:proofErr w:type="spellEnd"/>
          </w:p>
        </w:tc>
        <w:tc>
          <w:tcPr>
            <w:tcW w:w="2880" w:type="dxa"/>
          </w:tcPr>
          <w:p w14:paraId="5F815848" w14:textId="77777777" w:rsidR="009E73FF" w:rsidRDefault="009E73FF" w:rsidP="00FC78EA">
            <w:proofErr w:type="spellStart"/>
            <w:r>
              <w:t>Описание</w:t>
            </w:r>
            <w:proofErr w:type="spellEnd"/>
          </w:p>
        </w:tc>
        <w:tc>
          <w:tcPr>
            <w:tcW w:w="2880" w:type="dxa"/>
          </w:tcPr>
          <w:p w14:paraId="0024B0D5" w14:textId="77777777" w:rsidR="009E73FF" w:rsidRDefault="009E73FF" w:rsidP="00FC78EA">
            <w:proofErr w:type="spellStart"/>
            <w:r>
              <w:t>Макс</w:t>
            </w:r>
            <w:proofErr w:type="spellEnd"/>
            <w:r>
              <w:t xml:space="preserve">. </w:t>
            </w:r>
            <w:proofErr w:type="spellStart"/>
            <w:r>
              <w:t>точки</w:t>
            </w:r>
            <w:proofErr w:type="spellEnd"/>
          </w:p>
        </w:tc>
      </w:tr>
      <w:tr w:rsidR="009E73FF" w14:paraId="568CD414" w14:textId="77777777" w:rsidTr="00FC78EA">
        <w:tc>
          <w:tcPr>
            <w:tcW w:w="2880" w:type="dxa"/>
          </w:tcPr>
          <w:p w14:paraId="1A2E14E9" w14:textId="77777777" w:rsidR="009E73FF" w:rsidRDefault="009E73FF" w:rsidP="00FC78EA">
            <w:proofErr w:type="spellStart"/>
            <w:r>
              <w:t>Академичен</w:t>
            </w:r>
            <w:proofErr w:type="spellEnd"/>
            <w:r>
              <w:t xml:space="preserve"> </w:t>
            </w:r>
            <w:proofErr w:type="spellStart"/>
            <w:r>
              <w:t>успех</w:t>
            </w:r>
            <w:proofErr w:type="spellEnd"/>
          </w:p>
        </w:tc>
        <w:tc>
          <w:tcPr>
            <w:tcW w:w="2880" w:type="dxa"/>
          </w:tcPr>
          <w:p w14:paraId="74E4EF96" w14:textId="77777777" w:rsidR="009E73FF" w:rsidRDefault="009E73FF" w:rsidP="00FC78EA">
            <w:proofErr w:type="spellStart"/>
            <w:r>
              <w:t>Над</w:t>
            </w:r>
            <w:proofErr w:type="spellEnd"/>
            <w:r>
              <w:t xml:space="preserve"> 5.50 – 20 т.</w:t>
            </w:r>
            <w:r>
              <w:br/>
              <w:t>5.00–5.49 – 15 т.</w:t>
            </w:r>
            <w:r>
              <w:br/>
              <w:t>4.50–4.99 – 10 т.</w:t>
            </w:r>
          </w:p>
        </w:tc>
        <w:tc>
          <w:tcPr>
            <w:tcW w:w="2880" w:type="dxa"/>
          </w:tcPr>
          <w:p w14:paraId="0DC841B1" w14:textId="77777777" w:rsidR="009E73FF" w:rsidRDefault="009E73FF" w:rsidP="00FC78EA">
            <w:r>
              <w:t>20</w:t>
            </w:r>
          </w:p>
        </w:tc>
      </w:tr>
      <w:tr w:rsidR="009E73FF" w14:paraId="697E4EBF" w14:textId="77777777" w:rsidTr="00FC78EA">
        <w:tc>
          <w:tcPr>
            <w:tcW w:w="2880" w:type="dxa"/>
          </w:tcPr>
          <w:p w14:paraId="73B0E69E" w14:textId="77777777" w:rsidR="009E73FF" w:rsidRDefault="009E73FF" w:rsidP="00FC78EA">
            <w:proofErr w:type="spellStart"/>
            <w:r>
              <w:t>Интервю</w:t>
            </w:r>
            <w:proofErr w:type="spellEnd"/>
          </w:p>
        </w:tc>
        <w:tc>
          <w:tcPr>
            <w:tcW w:w="2880" w:type="dxa"/>
          </w:tcPr>
          <w:p w14:paraId="648C360E" w14:textId="77777777" w:rsidR="009E73FF" w:rsidRDefault="009E73FF" w:rsidP="00FC78EA">
            <w:proofErr w:type="spellStart"/>
            <w:r>
              <w:t>Мотивация</w:t>
            </w:r>
            <w:proofErr w:type="spellEnd"/>
            <w:r>
              <w:t xml:space="preserve"> – 10 т.</w:t>
            </w:r>
            <w:r>
              <w:br/>
            </w:r>
            <w:proofErr w:type="spellStart"/>
            <w:r>
              <w:t>Познания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екология</w:t>
            </w:r>
            <w:proofErr w:type="spellEnd"/>
            <w:r>
              <w:t xml:space="preserve"> – 10 т.</w:t>
            </w:r>
            <w:r>
              <w:br/>
            </w:r>
            <w:proofErr w:type="spellStart"/>
            <w:r>
              <w:t>Комуникативни</w:t>
            </w:r>
            <w:proofErr w:type="spellEnd"/>
            <w:r>
              <w:t xml:space="preserve"> </w:t>
            </w:r>
            <w:proofErr w:type="spellStart"/>
            <w:r>
              <w:t>умения</w:t>
            </w:r>
            <w:proofErr w:type="spellEnd"/>
            <w:r>
              <w:t xml:space="preserve"> – 5 т.</w:t>
            </w:r>
          </w:p>
        </w:tc>
        <w:tc>
          <w:tcPr>
            <w:tcW w:w="2880" w:type="dxa"/>
          </w:tcPr>
          <w:p w14:paraId="72029E42" w14:textId="77777777" w:rsidR="009E73FF" w:rsidRDefault="009E73FF" w:rsidP="00FC78EA">
            <w:r>
              <w:t>25</w:t>
            </w:r>
          </w:p>
        </w:tc>
      </w:tr>
      <w:tr w:rsidR="009E73FF" w14:paraId="515AB1D6" w14:textId="77777777" w:rsidTr="00FC78EA">
        <w:tc>
          <w:tcPr>
            <w:tcW w:w="2880" w:type="dxa"/>
          </w:tcPr>
          <w:p w14:paraId="2D9FF07F" w14:textId="77777777" w:rsidR="009E73FF" w:rsidRDefault="009E73FF" w:rsidP="00FC78EA">
            <w:proofErr w:type="spellStart"/>
            <w:r>
              <w:t>Тест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темата</w:t>
            </w:r>
            <w:proofErr w:type="spellEnd"/>
          </w:p>
        </w:tc>
        <w:tc>
          <w:tcPr>
            <w:tcW w:w="2880" w:type="dxa"/>
          </w:tcPr>
          <w:p w14:paraId="6BD9FC52" w14:textId="77777777" w:rsidR="009E73FF" w:rsidRDefault="009E73FF" w:rsidP="00FC78EA">
            <w:r>
              <w:t>18–20 т. – 20 т.</w:t>
            </w:r>
            <w:r>
              <w:br/>
              <w:t>15–17 т. – 15 т.</w:t>
            </w:r>
            <w:r>
              <w:br/>
              <w:t>12–14 т. – 10 т.</w:t>
            </w:r>
            <w:r>
              <w:br/>
            </w:r>
            <w:proofErr w:type="spellStart"/>
            <w:r>
              <w:t>Под</w:t>
            </w:r>
            <w:proofErr w:type="spellEnd"/>
            <w:r>
              <w:t xml:space="preserve"> 12 – 0 т.</w:t>
            </w:r>
          </w:p>
        </w:tc>
        <w:tc>
          <w:tcPr>
            <w:tcW w:w="2880" w:type="dxa"/>
          </w:tcPr>
          <w:p w14:paraId="24B1BADF" w14:textId="77777777" w:rsidR="009E73FF" w:rsidRDefault="009E73FF" w:rsidP="00FC78EA">
            <w:r>
              <w:t>20</w:t>
            </w:r>
          </w:p>
        </w:tc>
      </w:tr>
      <w:tr w:rsidR="009E73FF" w14:paraId="05CFD465" w14:textId="77777777" w:rsidTr="00FC78EA">
        <w:tc>
          <w:tcPr>
            <w:tcW w:w="2880" w:type="dxa"/>
          </w:tcPr>
          <w:p w14:paraId="1F653AC2" w14:textId="77777777" w:rsidR="009E73FF" w:rsidRDefault="009E73FF" w:rsidP="00FC78EA">
            <w:proofErr w:type="spellStart"/>
            <w:r>
              <w:t>Социален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</w:p>
        </w:tc>
        <w:tc>
          <w:tcPr>
            <w:tcW w:w="2880" w:type="dxa"/>
          </w:tcPr>
          <w:p w14:paraId="098BDA0E" w14:textId="77777777" w:rsidR="009E73FF" w:rsidRDefault="009E73FF" w:rsidP="00FC78EA">
            <w:proofErr w:type="spellStart"/>
            <w:r>
              <w:t>Неравностойно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t xml:space="preserve"> – 10 т.</w:t>
            </w:r>
            <w:r>
              <w:br/>
            </w:r>
            <w:proofErr w:type="spellStart"/>
            <w:r>
              <w:t>Други</w:t>
            </w:r>
            <w:proofErr w:type="spellEnd"/>
            <w:r>
              <w:t xml:space="preserve"> – 0 т.</w:t>
            </w:r>
          </w:p>
        </w:tc>
        <w:tc>
          <w:tcPr>
            <w:tcW w:w="2880" w:type="dxa"/>
          </w:tcPr>
          <w:p w14:paraId="5538F9B1" w14:textId="77777777" w:rsidR="009E73FF" w:rsidRDefault="009E73FF" w:rsidP="00FC78EA">
            <w:r>
              <w:t>10</w:t>
            </w:r>
          </w:p>
        </w:tc>
      </w:tr>
      <w:tr w:rsidR="009E73FF" w14:paraId="51FA6366" w14:textId="77777777" w:rsidTr="00FC78EA">
        <w:tc>
          <w:tcPr>
            <w:tcW w:w="2880" w:type="dxa"/>
          </w:tcPr>
          <w:p w14:paraId="1113D90C" w14:textId="77777777" w:rsidR="009E73FF" w:rsidRDefault="009E73FF" w:rsidP="00FC78EA">
            <w:proofErr w:type="spellStart"/>
            <w:r>
              <w:t>Поведение</w:t>
            </w:r>
            <w:proofErr w:type="spellEnd"/>
            <w:r>
              <w:t xml:space="preserve"> и </w:t>
            </w:r>
            <w:proofErr w:type="spellStart"/>
            <w:r>
              <w:t>ангажираност</w:t>
            </w:r>
            <w:proofErr w:type="spellEnd"/>
          </w:p>
        </w:tc>
        <w:tc>
          <w:tcPr>
            <w:tcW w:w="2880" w:type="dxa"/>
          </w:tcPr>
          <w:p w14:paraId="417A573C" w14:textId="77777777" w:rsidR="009E73FF" w:rsidRDefault="009E73FF" w:rsidP="00FC78EA">
            <w:proofErr w:type="spellStart"/>
            <w:r>
              <w:t>Отлично</w:t>
            </w:r>
            <w:proofErr w:type="spellEnd"/>
            <w:r>
              <w:t xml:space="preserve"> – 15 т.</w:t>
            </w:r>
            <w:r>
              <w:br/>
            </w:r>
            <w:proofErr w:type="spellStart"/>
            <w:r>
              <w:t>Добро</w:t>
            </w:r>
            <w:proofErr w:type="spellEnd"/>
            <w:r>
              <w:t xml:space="preserve"> – 10 т.</w:t>
            </w:r>
            <w:r>
              <w:br/>
            </w:r>
            <w:proofErr w:type="spellStart"/>
            <w:r>
              <w:t>Средно</w:t>
            </w:r>
            <w:proofErr w:type="spellEnd"/>
            <w:r>
              <w:t xml:space="preserve"> – 5 т.</w:t>
            </w:r>
          </w:p>
        </w:tc>
        <w:tc>
          <w:tcPr>
            <w:tcW w:w="2880" w:type="dxa"/>
          </w:tcPr>
          <w:p w14:paraId="0D716347" w14:textId="77777777" w:rsidR="009E73FF" w:rsidRDefault="009E73FF" w:rsidP="00FC78EA">
            <w:r>
              <w:t>15</w:t>
            </w:r>
          </w:p>
        </w:tc>
      </w:tr>
    </w:tbl>
    <w:p w14:paraId="0DC41A46" w14:textId="77777777" w:rsidR="009E73FF" w:rsidRDefault="009E73FF" w:rsidP="009E73FF">
      <w:proofErr w:type="spellStart"/>
      <w:r>
        <w:t>Максимален</w:t>
      </w:r>
      <w:proofErr w:type="spellEnd"/>
      <w:r>
        <w:t xml:space="preserve"> </w:t>
      </w:r>
      <w:proofErr w:type="spellStart"/>
      <w:r>
        <w:t>брой</w:t>
      </w:r>
      <w:proofErr w:type="spellEnd"/>
      <w:r>
        <w:t xml:space="preserve"> </w:t>
      </w:r>
      <w:proofErr w:type="spellStart"/>
      <w:r>
        <w:t>точки</w:t>
      </w:r>
      <w:proofErr w:type="spellEnd"/>
      <w:r>
        <w:t>: 90</w:t>
      </w:r>
    </w:p>
    <w:p w14:paraId="37309738" w14:textId="77777777" w:rsidR="009E73FF" w:rsidRDefault="009E73FF" w:rsidP="009E73FF">
      <w:pPr>
        <w:pStyle w:val="2"/>
      </w:pPr>
      <w:r>
        <w:t xml:space="preserve">VI.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класирането</w:t>
      </w:r>
      <w:proofErr w:type="spellEnd"/>
    </w:p>
    <w:p w14:paraId="5E260420" w14:textId="77777777" w:rsidR="009E73FF" w:rsidRDefault="009E73FF" w:rsidP="009E73FF">
      <w:r>
        <w:t xml:space="preserve">- </w:t>
      </w:r>
      <w:proofErr w:type="spellStart"/>
      <w:r>
        <w:t>Среден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4.50.</w:t>
      </w:r>
      <w:r>
        <w:br/>
        <w:t xml:space="preserve">-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>.</w:t>
      </w:r>
      <w:r>
        <w:br/>
        <w:t xml:space="preserve">- </w:t>
      </w:r>
      <w:proofErr w:type="spellStart"/>
      <w:r>
        <w:t>Издържан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(</w:t>
      </w:r>
      <w:proofErr w:type="spellStart"/>
      <w:r>
        <w:t>минимум</w:t>
      </w:r>
      <w:proofErr w:type="spellEnd"/>
      <w:r>
        <w:t xml:space="preserve"> 12/20 т.).</w:t>
      </w:r>
      <w:r>
        <w:br/>
        <w:t xml:space="preserve">- </w:t>
      </w:r>
      <w:proofErr w:type="spellStart"/>
      <w:r>
        <w:t>Интервю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темата</w:t>
      </w:r>
      <w:proofErr w:type="spellEnd"/>
      <w:r>
        <w:t>.</w:t>
      </w:r>
      <w:r>
        <w:br/>
      </w:r>
      <w:r>
        <w:br/>
      </w:r>
      <w:proofErr w:type="spellStart"/>
      <w:r>
        <w:t>Прeимущество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неравностойно</w:t>
      </w:r>
      <w:proofErr w:type="spellEnd"/>
      <w:r>
        <w:t xml:space="preserve"> </w:t>
      </w:r>
      <w:proofErr w:type="spellStart"/>
      <w:r>
        <w:t>социално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>.</w:t>
      </w:r>
    </w:p>
    <w:p w14:paraId="73793615" w14:textId="77777777" w:rsidR="009E73FF" w:rsidRDefault="009E73FF" w:rsidP="009E73FF">
      <w:pPr>
        <w:pStyle w:val="2"/>
      </w:pPr>
      <w:r>
        <w:t xml:space="preserve">VII.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подбор</w:t>
      </w:r>
      <w:proofErr w:type="spellEnd"/>
    </w:p>
    <w:p w14:paraId="0C1CCA81" w14:textId="77777777" w:rsidR="009E73FF" w:rsidRDefault="009E73FF" w:rsidP="009E73FF">
      <w:proofErr w:type="spellStart"/>
      <w:r>
        <w:t>Подборът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, </w:t>
      </w:r>
      <w:proofErr w:type="spellStart"/>
      <w:r>
        <w:t>назначена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 xml:space="preserve">, </w:t>
      </w:r>
      <w:proofErr w:type="spellStart"/>
      <w:r>
        <w:t>включваща</w:t>
      </w:r>
      <w:proofErr w:type="spellEnd"/>
      <w:r>
        <w:t>:</w:t>
      </w:r>
      <w:r>
        <w:br/>
      </w:r>
      <w:r>
        <w:lastRenderedPageBreak/>
        <w:t xml:space="preserve">- </w:t>
      </w:r>
      <w:proofErr w:type="spellStart"/>
      <w:r>
        <w:t>председател</w:t>
      </w:r>
      <w:proofErr w:type="spellEnd"/>
      <w:r>
        <w:t>;</w:t>
      </w:r>
      <w:r>
        <w:br/>
        <w:t xml:space="preserve">- </w:t>
      </w:r>
      <w:proofErr w:type="spellStart"/>
      <w:r>
        <w:t>членове</w:t>
      </w:r>
      <w:proofErr w:type="spellEnd"/>
      <w:r>
        <w:t xml:space="preserve"> – </w:t>
      </w:r>
      <w:proofErr w:type="spellStart"/>
      <w:r>
        <w:t>учители</w:t>
      </w:r>
      <w:proofErr w:type="spellEnd"/>
      <w:r>
        <w:t xml:space="preserve"> и </w:t>
      </w:r>
      <w:proofErr w:type="spellStart"/>
      <w:r>
        <w:t>координатор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.</w:t>
      </w:r>
    </w:p>
    <w:p w14:paraId="4791688A" w14:textId="77777777" w:rsidR="009E73FF" w:rsidRDefault="009E73FF" w:rsidP="009E73FF">
      <w:pPr>
        <w:pStyle w:val="2"/>
      </w:pPr>
      <w:r>
        <w:t xml:space="preserve">VIII. </w:t>
      </w:r>
      <w:proofErr w:type="spellStart"/>
      <w:r>
        <w:t>Заключителни</w:t>
      </w:r>
      <w:proofErr w:type="spellEnd"/>
      <w:r>
        <w:t xml:space="preserve"> </w:t>
      </w:r>
      <w:proofErr w:type="spellStart"/>
      <w:r>
        <w:t>разпоредби</w:t>
      </w:r>
      <w:proofErr w:type="spellEnd"/>
    </w:p>
    <w:p w14:paraId="30646062" w14:textId="77777777" w:rsidR="009E73FF" w:rsidRDefault="009E73FF" w:rsidP="009E73FF">
      <w:r>
        <w:t xml:space="preserve">1.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е </w:t>
      </w:r>
      <w:proofErr w:type="spellStart"/>
      <w:r>
        <w:t>неразделна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публикува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официалния</w:t>
      </w:r>
      <w:proofErr w:type="spellEnd"/>
      <w:r>
        <w:t xml:space="preserve"> </w:t>
      </w:r>
      <w:proofErr w:type="spellStart"/>
      <w:r>
        <w:t>сайт</w:t>
      </w:r>
      <w:proofErr w:type="spellEnd"/>
      <w:r>
        <w:t xml:space="preserve"> и </w:t>
      </w:r>
      <w:proofErr w:type="spellStart"/>
      <w:r>
        <w:t>информационното</w:t>
      </w:r>
      <w:proofErr w:type="spellEnd"/>
      <w:r>
        <w:t xml:space="preserve"> </w:t>
      </w:r>
      <w:proofErr w:type="spellStart"/>
      <w:r>
        <w:t>табло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>.</w:t>
      </w:r>
      <w:r>
        <w:br/>
        <w:t xml:space="preserve">2.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спазване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(ЕС) 2016/679 (GDPR).</w:t>
      </w:r>
      <w:r>
        <w:br/>
        <w:t xml:space="preserve">3. </w:t>
      </w:r>
      <w:proofErr w:type="spellStart"/>
      <w:r>
        <w:t>Неуредените</w:t>
      </w:r>
      <w:proofErr w:type="spellEnd"/>
      <w:r>
        <w:t xml:space="preserve"> в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решават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подбора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>.</w:t>
      </w:r>
    </w:p>
    <w:p w14:paraId="3689B8D7" w14:textId="6A75D001" w:rsidR="009E73FF" w:rsidRPr="00AD09B4" w:rsidRDefault="009E73FF" w:rsidP="006961C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bg-BG" w:eastAsia="en-GB"/>
          <w14:ligatures w14:val="none"/>
        </w:rPr>
      </w:pPr>
      <w:bookmarkStart w:id="0" w:name="_GoBack"/>
      <w:bookmarkEnd w:id="0"/>
    </w:p>
    <w:sectPr w:rsidR="009E73FF" w:rsidRPr="00AD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5C7"/>
    <w:multiLevelType w:val="multilevel"/>
    <w:tmpl w:val="AA7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946"/>
    <w:multiLevelType w:val="multilevel"/>
    <w:tmpl w:val="20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4E37"/>
    <w:multiLevelType w:val="multilevel"/>
    <w:tmpl w:val="B90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424"/>
    <w:multiLevelType w:val="multilevel"/>
    <w:tmpl w:val="66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2C6F"/>
    <w:multiLevelType w:val="multilevel"/>
    <w:tmpl w:val="A0D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95B"/>
    <w:multiLevelType w:val="multilevel"/>
    <w:tmpl w:val="25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62D07"/>
    <w:multiLevelType w:val="multilevel"/>
    <w:tmpl w:val="318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75FAA"/>
    <w:multiLevelType w:val="multilevel"/>
    <w:tmpl w:val="961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AE"/>
    <w:rsid w:val="004B6EAE"/>
    <w:rsid w:val="00500437"/>
    <w:rsid w:val="005B6BC8"/>
    <w:rsid w:val="006961CF"/>
    <w:rsid w:val="008A4F02"/>
    <w:rsid w:val="008E273D"/>
    <w:rsid w:val="009E73FF"/>
    <w:rsid w:val="00A7666E"/>
    <w:rsid w:val="00AD09B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AFE"/>
  <w15:chartTrackingRefBased/>
  <w15:docId w15:val="{42A3F6D0-6860-4C54-8B69-01F4720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6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6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6EA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6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7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dc:description/>
  <cp:lastModifiedBy>Intel</cp:lastModifiedBy>
  <cp:revision>2</cp:revision>
  <dcterms:created xsi:type="dcterms:W3CDTF">2026-01-28T09:21:00Z</dcterms:created>
  <dcterms:modified xsi:type="dcterms:W3CDTF">2026-01-28T09:21:00Z</dcterms:modified>
</cp:coreProperties>
</file>